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88R14238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flood control planning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15.405(f),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board shall adopt rules establishing criteria of eligibility for flood control planning money that considers: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relative need of the political subdivision for the money, giving greater importance to a county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 median household income that is not greater than 85 percent of the median state household income;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 demonstrate an inability to adequately address the county's flood control planning needs without the money;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legal authority of the political subdivision to plan for and control flooding;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effect of flood control planning by the political subdivision on overall flood control in the state and within the area in which the political subdivision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