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88R13430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rules of the road regarding red signals at certain traffic-control signals.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544.007, Transportation Code, is amended by amending Subsection (d) and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operator of a vehicle facing only a steady red signal shall stop at a clearly marked stop line.  In the absence of a stop line, the operator shall stop before entering the crosswalk on the near side of the intersection. </w:t>
      </w:r>
      <w:r>
        <w:rPr>
          <w:u w:val="single"/>
        </w:rPr>
        <w:t xml:space="preserve">Except as provided by Subsection (d-1), a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vehicle that is not turning shall remain standing until an indication to proceed is shown.  After stopping, standing until the intersection may be entered safely, and yielding right-of-way to pedestrians lawfully in an adjacent crosswalk and other traffic lawfully using the intersection, the operator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turn right;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turn left, if the intersecting streets are both one-way streets and a left turn is permissible.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operator of a motorcycle or bicycle facing only a steady red signal at a traffic-actuated electric traffic-control signal, as described by Section 544.0075, may proceed if the traffic-actuated electric traffic-control signal fails to register the motorcycle or bicycle. The right to proceed is subject to the rules applicable after stopping at a stop sign.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