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88R13733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5149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covenants not to compete for certain psychology or counseling professions.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15.50, Business &amp; Commerce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Notwithstanding Section 15.05 of this code, and subject to any applicable provision of Subsection (b) </w:t>
      </w:r>
      <w:r>
        <w:rPr>
          <w:u w:val="single"/>
        </w:rPr>
        <w:t xml:space="preserve">or (b-1)</w:t>
      </w:r>
      <w:r>
        <w:t xml:space="preserve">, a covenant not to compete is enforceable if it is ancillary to or part of an otherwise enforceable agreement at the time the agreement is made to the extent that it contains limitations as to time, geographical area, and scope of activity to be restrained that are reasonable and do not impose a greater restraint than is necessary to protect the goodwill or other business interest of the promisee.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covenant not to compete relating to the practice of psychology or other counseling profession is enforceable against a person licensed under Subtitle I, Title 3, Occupations Code, if the covenant complies with the following requirements: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covenant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deny the person access to a list of the person's clients or patients who have been provided services within one year of termination of the contract or employment;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access to client or patient records upon authorization of the client or patient and any copies of client or patient records for a reasonable fee as established by the appropriate licensing or regulatory authority;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that any access to a list of clients or patients or to clients' or patients' records after termination of the contract or employment shall not require the list or records to be provided in a format different than that by which the records are maintained except by mutual consent of the parties to the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covenant must provide for a buyout of the covenant by the person at a reasonable price or, at the option of either party, as determined by a mutually agreed upon arbitrator or, in the case of an inability to agree, an arbitrator of the court whose decision shall be binding on the parties;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covenant must provide that the person will not be prohibited from providing continuing services to a specific client or patient during the course of an acute event even after the contract or employment has been terminated.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agreement entered into on or after the effective date of this Act.  An agreement entered into before the effective date of this Act is governed by the law in effect at the time the agreement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