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 considerations of transportation projects by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201.615, Transportation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consider, </w:t>
      </w:r>
      <w:r>
        <w:rPr>
          <w:u w:val="single"/>
        </w:rPr>
        <w:t xml:space="preserve">in accordance with the NEPA requirements for studying design alternatives</w:t>
      </w:r>
      <w:r>
        <w:t xml:space="preserve">, the following factors when developing transportation projects that involve the construction, reconstruction, rehabilitation, or resurfacing of a highway, other than a maintenance resurfacing project: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extent to which the project promotes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durability of the project;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economy of maintenance of the project;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impact of the project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natural and artificial environment;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scenic and aesthetic character of the area in which the project is located;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preservation efforts;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affected local community and its economy;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access for other modes of transportation, including those that promote physically active communities;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except as provided by Subsection (c), the aesthetic character of the project, including input from each affected local community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(d), an alternative design for the project that has been approved by a vote of the governing body of a municipality or county that represents an affected local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negative impacts to an affected local community from previous transportation projects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</w:t>
      </w:r>
      <w:r>
        <w:rPr>
          <w:u w:val="single"/>
        </w:rPr>
        <w:t xml:space="preserve">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(a)(7) does not apply to a transportation project if the department finds that an alternative design for a transportation project approved by the governing body of a municipality or county is frivolous, unreasonable, or intended to delay a transportation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