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88R12240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5156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fair decision making policies by metropolitan planning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472, Transportation Code, is amended by adding Section 472.037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472.037.</w:t>
      </w:r>
      <w:r>
        <w:rPr>
          <w:u w:val="single"/>
        </w:rPr>
        <w:t xml:space="preserve"> </w:t>
      </w:r>
      <w:r>
        <w:rPr>
          <w:u w:val="single"/>
        </w:rPr>
        <w:t xml:space="preserve"> </w:t>
      </w:r>
      <w:r>
        <w:rPr>
          <w:u w:val="single"/>
        </w:rPr>
        <w:t xml:space="preserve">FAIR DECISION MAKING POLICY.  (a)  Each metropolitan planning organization shall develop and implement a policy for fair decision making in the organization's planning process.  In developing the policy, a metropolitan planning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the current representation and voting structure of the organization's policy board and any existing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current and projected population of the area served by the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projected number of jobs that will be created by each potential project considered by the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propose changes to ensure fair and proportional representation on the organization's policy board and any existing committees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urban, suburban, and rural communities served by the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served by the organization who do not predominantly travel by passenger vehicle;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historically underrepresented and underserved communities served by the organization;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guidelines to achieve fair representation,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proposing new joint powers agreements and bylaws to remedy problems related to fair representation;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for adopting proportional voting systems based on residential populations of areas represented by the organization's policy board and any existing committees to provide equal representation for all residents served by the organization;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guidance for the organization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include individuals from diverse backgrounds on organization committees;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ensure that the organization is receiving input from individuals from diverse backgrounds that are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July 31, 2024, each metropolitan planning organization shall submit a report to the department summarizing the policy developed by the organization under Subsection (a).  This subsection expires August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