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88R4329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5158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service members and veterans to participate in a veterans treatment court program based on citizenship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124.002,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Access to a veterans treatment court program may not be limited or denied to any veteran or member of the United States armed forces under Subsection (a) solely based on the veteran's or member's citizenship status.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