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88R24435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Garcia</w:t>
      </w:r>
      <w:r xml:space="preserve">
        <w:tab wTab="150" tlc="none" cTlc="0"/>
      </w:r>
      <w:r>
        <w:t xml:space="preserve">H.B.</w:t>
      </w:r>
      <w:r xml:space="preserve">
        <w:t> </w:t>
      </w:r>
      <w:r>
        <w:t xml:space="preserve">No.</w:t>
      </w:r>
      <w:r xml:space="preserve">
        <w:t> </w:t>
      </w:r>
      <w:r>
        <w:t xml:space="preserve">5167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protections for certain military dependents enrolled in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25.906.</w:t>
      </w:r>
      <w:r>
        <w:rPr>
          <w:u w:val="single"/>
        </w:rPr>
        <w:t xml:space="preserve"> </w:t>
      </w:r>
      <w:r>
        <w:rPr>
          <w:u w:val="single"/>
        </w:rPr>
        <w:t xml:space="preserve"> </w:t>
      </w:r>
      <w:r>
        <w:rPr>
          <w:u w:val="single"/>
        </w:rPr>
        <w:t xml:space="preserve">PROTECTIONS FOR CERTAIN MILITARY DEPENDENTS.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"Compact" means the Interstate Compact on Educational Opportunity for Military Children executed under Section 162.002.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"Uniformed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Army, Navy, Air Force, Space Force, Marine Corps, or Coast Guard;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Commissioned Corps of the National Oceanic and Atmospheric Administration;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Commissioned Corps of the United States Public Health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Articles IV, V, VI, and VII of the compact apply to the following children as if those children were children described by Article III of the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of a veteran of the uniformed services who was discharged or released through retirement, for a period of four years after the date of the veteran's retirement, if the veteran returns to the veteran's home of record on military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of a member of the uniformed services who dies on active duty or as a result of injuries sustained on active duty, for a period of four years after the member's death.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that maintains an Internet website shall post on the district's or school's Internet website an easily accessible link to information regarding the compact and the additional protections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