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88R24435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5167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5167:</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5167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protections for certain military dependents enrolled in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25.906.</w:t>
      </w:r>
      <w:r>
        <w:rPr>
          <w:u w:val="single"/>
        </w:rPr>
        <w:t xml:space="preserve"> </w:t>
      </w:r>
      <w:r>
        <w:rPr>
          <w:u w:val="single"/>
        </w:rPr>
        <w:t xml:space="preserve"> </w:t>
      </w:r>
      <w:r>
        <w:rPr>
          <w:u w:val="single"/>
        </w:rPr>
        <w:t xml:space="preserve">PROTECTIONS FOR CERTAIN MILITARY DEPENDENTS.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"Compact" means the Interstate Compact on Educational Opportunity for Military Children executed under Section 162.002.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"Uniformed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Army, Navy, Air Force, Space Force, Marine Corps, or Coast Guard;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Commissioned Corps of the National Oceanic and Atmospheric Administration;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Commissioned Corps of the United States Public Health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Articles IV, V, VI, and VII of the compact apply to the following children as if those children were children described by Article III of the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of a veteran of the uniformed services who was discharged or released through retirement, for a period of four years after the date of the veteran's retirement, if the veteran returns to the veteran's home of record on military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of a member of the uniformed services who dies on active duty or as a result of injuries sustained on active duty, for a period of four years after the member's death.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that maintains an Internet website shall post on the district's or school's Internet website an easily accessible link to information regarding the compact and the additional protections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