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88R14792 AMF-F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Gates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5176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annual report published by the Department of Family and Protective Services regarding child protective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40.0516(a), Human Resources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department shall collect and compile the following data on the state and county level: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following information for reports of abuse and neglect in residential child-care facilities, as defined by Section 42.002: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number of reports of abuse and neglect made to the department hotline;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types of abuse and neglect reported;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investigation priority level assigned to each report;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investigation response times, sorted by investigation priority;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disposition of each investigation;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the number of reports of abuse and neglect to which the department assigned a disposition of call screened out or alternative or differential response provided;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the overall safety and risk finding for each investigation;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number of families referred to family preservation services, organized by the risk level assigned to each family through structured decision-making;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number of children removed from the child's home as the result of an investigation of a report of abuse or neglect and the primary circumstances that contributed to the removal;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number of children placed in substitute care, organized by type of placement;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number of children placed out of the child's home county or region;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number of children in the conservatorship of the department at each service level;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the number of children in the conservatorship of the department who are pregnant or who are a parent;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the number of children in the managing conservatorship of the department who are the parent of a child who is also in the managing conservatorship of the department;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the recurrence of child abuse or neglect in a household in which the department investigated a report of abuse or neglect within six months and one year of the date the case was closed separated by the following type of case: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cases that were administratively closed without further action;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cases in which the child was removed and placed in the managing conservatorship of the department;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cases in which the department provided family preservation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the recurrence of child abuse and neglect in a household within five years of the date the case was closed for cases described by Subdivisions (9)(B) and (C);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workforce turnover data for child protective services employees, including the average tenure of caseworkers and supervisors and the average salary of caseworkers and supervisors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cases in which the department interviewed the alleged perpetrator and, of those cases: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cases in which the alleged perpetrator was informed of the alleged perpetrator's right to: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record the interview under Section 261.3027, Family Code;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request an administrative review of the department's findings under Section 261.309, Family Code;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cases in which the alleged perpetrator signed the department's form informing the alleged perpetrator of the alleged perpetrator's rights prior to the interview;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cases in which the department's form informing the alleged perpetrator of the alleged perpetrator's rights is included in the department's records for that case;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each case in which an investigation of child abuse or neglect resulted in a disposition of reason to believe abuse or neglect occurred: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cases in which the department was granted temporary managing conservatorship of the child and, of those cases, the number of children placed: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foster care;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 a relative caregiver;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 a designated caregiver;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cases in which the department entered into a parental child safety placement agreement with a parent or other person with whom the child resides under Section 264.902, Family Code, and, of those cases, the number of children placed with a parental child safety placement caregiver who is: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relative;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close friend;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someone other than an individual listed in Subparagraph (i) or (ii);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cases in which the child remained with the child's parent or other person with whom the child resides;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cases in which a suit was filed after a child was taken into possession without a court order by a governmental entity in which the initial hearing was ex parte and, of those cases: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cases in which the court granted temporary managing conservatorship of the child to the department;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cases in which the court ordered the return of the child;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cases in which the department filed a petition for the removal of the alleged perpetrator from the residence of the child and, of those cases: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cases in which the court issued a temporary restraining order under Section 262.1015, Family Code, or any other order requiring the removal of an alleged perpetrator from the residence of a child;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cases in which the court did not issue a temporary restraining order under Section 262.1015, Family Code, or any other order requiring the removal of an alleged perpetrator from the residence of a child;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cases in which the department filed, at the full adversary hearing under Section 262.201, Family Code: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copy of each proposed child placement resources form completed by the parent or other person having legal custody of the child;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copy of any completed home study performed under Section 262.114, Family Code;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 of the relative or other designated caregiver, if any, with whom the child has been placed;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suits in which a full adversary hearing is held under Section 262.201, Family Code, the number of cases in which a child was placed: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 a person related to the child by blood, marriage, or adoption;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</w:t>
      </w:r>
      <w:r>
        <w:rPr>
          <w:u w:val="single"/>
        </w:rPr>
        <w:t xml:space="preserve"> </w:t>
      </w:r>
      <w:r>
        <w:rPr>
          <w:u w:val="single"/>
        </w:rPr>
        <w:t xml:space="preserve">a person with whom the child has a long-standing and significant relationship;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</w:t>
      </w:r>
      <w:r>
        <w:rPr>
          <w:u w:val="single"/>
        </w:rPr>
        <w:t xml:space="preserve"> </w:t>
      </w:r>
      <w:r>
        <w:rPr>
          <w:u w:val="single"/>
        </w:rPr>
        <w:t xml:space="preserve">a foster home;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</w:t>
      </w:r>
      <w:r>
        <w:rPr>
          <w:u w:val="single"/>
        </w:rPr>
        <w:t xml:space="preserve"> </w:t>
      </w:r>
      <w:r>
        <w:rPr>
          <w:u w:val="single"/>
        </w:rPr>
        <w:t xml:space="preserve">a general residential operation;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another placement;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cases in which a court ordered the placement of a child with a caregiver other than the child's parent, the number of placements the court did not complete and the number the court completed in the following time frames: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before the end of the fifth day after the date the court rendered the order;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after the fifth day but before the end of the 15th day after the date the court rendered the order;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after the 15th day but before the end of the 60th day after the date the court rendered the order;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after the 60th day after the date the court rendered the order;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cases in which the department entered into a parental child safety placement agreement with a parent or other person with whom the child resides under Section 264.902, Family Code, and, of those cases: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children placed with a parental child safety placement caregiver who is: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relative;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close friend;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someone other than an individual listed in Subparagraph (i) or (ii);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cases in which the parental child safety placement agreement was terminated: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before the end of the 60th day after the date the department entered into the agreement;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after the 60th day after the date the department entered into the agreement;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after the agreement terminated, the number of children that: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were returned to a parent;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entered foster care under a court order;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were placed with a relative caregiver under a court order;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(iv)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were placed with a designated caregiver under a court order;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(v)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were placed with a person other than a person described by Subparagraphs (i) through (iv) under a court order;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(vi)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were placed with a person without a court order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5176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