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88R25382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5177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5177:</w:t>
      </w: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C.S.H.B.</w:t>
      </w:r>
      <w:r xml:space="preserve">
        <w:t> </w:t>
      </w:r>
      <w:r>
        <w:t xml:space="preserve">No.</w:t>
      </w:r>
      <w:r xml:space="preserve">
        <w:t> </w:t>
      </w:r>
      <w:r>
        <w:t xml:space="preserve">5177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defendant's eligibility for reduction or termination of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42A.701(g), Code of Criminal Procedure, is amended to read as follows:</w:t>
      </w:r>
    </w:p>
    <w:p w:rsidR="003F3435" w:rsidRDefault="0032493E">
      <w:pPr>
        <w:spacing w:line="480" w:lineRule="auto"/>
        <w:ind w:firstLine="720"/>
        <w:jc w:val="both"/>
      </w:pPr>
      <w:r>
        <w:t xml:space="preserve">(g)</w:t>
      </w:r>
      <w:r xml:space="preserve">
        <w:t> </w:t>
      </w:r>
      <w:r xml:space="preserve">
        <w:t> </w:t>
      </w:r>
      <w:r>
        <w:t xml:space="preserve">This article does not apply to a defendant convicted of:</w:t>
      </w:r>
    </w:p>
    <w:p w:rsidR="003F3435" w:rsidRDefault="0032493E">
      <w:pPr>
        <w:spacing w:line="480" w:lineRule="auto"/>
        <w:ind w:firstLine="1440"/>
        <w:jc w:val="both"/>
      </w:pPr>
      <w:r>
        <w:t xml:space="preserve">(1)</w:t>
      </w:r>
      <w:r xml:space="preserve">
        <w:t> </w:t>
      </w:r>
      <w:r xml:space="preserve">
        <w:t> </w:t>
      </w:r>
      <w:r>
        <w:t xml:space="preserve">an offense under Sections 49.04-49.08, Penal Code</w:t>
      </w:r>
      <w:r>
        <w:rPr>
          <w:u w:val="single"/>
        </w:rPr>
        <w:t xml:space="preserve">, unless the defendant successfully completes a veterans treatment court program under Chapter 124, Government Code</w:t>
      </w:r>
      <w:r>
        <w:t xml:space="preserve">;</w:t>
      </w:r>
    </w:p>
    <w:p w:rsidR="003F3435" w:rsidRDefault="0032493E">
      <w:pPr>
        <w:spacing w:line="480" w:lineRule="auto"/>
        <w:ind w:firstLine="1440"/>
        <w:jc w:val="both"/>
      </w:pPr>
      <w:r>
        <w:t xml:space="preserve">(2)</w:t>
      </w:r>
      <w:r xml:space="preserve">
        <w:t> </w:t>
      </w:r>
      <w:r xml:space="preserve">
        <w:t> </w:t>
      </w:r>
      <w:r>
        <w:t xml:space="preserve">an offense the conviction of which requires registration as a sex offender under Chapter 62; or</w:t>
      </w:r>
    </w:p>
    <w:p w:rsidR="003F3435" w:rsidRDefault="0032493E">
      <w:pPr>
        <w:spacing w:line="480" w:lineRule="auto"/>
        <w:ind w:firstLine="1440"/>
        <w:jc w:val="both"/>
      </w:pPr>
      <w:r>
        <w:t xml:space="preserve">(3)</w:t>
      </w:r>
      <w:r xml:space="preserve">
        <w:t> </w:t>
      </w:r>
      <w:r xml:space="preserve">
        <w:t> </w:t>
      </w:r>
      <w:r>
        <w:t xml:space="preserve">a felony described by Article 42A.054.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placed on community supervision for an offense committed on or after the effective date of this Act. </w:t>
      </w:r>
      <w:r>
        <w:t xml:space="preserve"> </w:t>
      </w:r>
      <w:r>
        <w:t xml:space="preserve">A person who is placed on community supervision for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