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Ashby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Nichols)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5178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Natural Resources &amp; Economic Development; May</w:t>
      </w:r>
      <w:r xml:space="preserve">
        <w:t> </w:t>
      </w:r>
      <w:r>
        <w:t xml:space="preserve">18,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0, one present not voting; May</w:t>
      </w:r>
      <w:r xml:space="preserve">
        <w:t> </w:t>
      </w:r>
      <w:r>
        <w:t xml:space="preserve">18,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authorizing certain counties to impose a hotel occupancy tax and the applicability of that tax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(ee)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commissioner's court of a county that has a population of 80,000 or more and that contains a portion of the Angelina National Forest may impose a tax as provided by Subsection (a). </w:t>
      </w:r>
      <w:r>
        <w:rPr>
          <w:u w:val="single"/>
        </w:rPr>
        <w:t xml:space="preserve"> </w:t>
      </w:r>
      <w:r>
        <w:rPr>
          <w:u w:val="single"/>
        </w:rPr>
        <w:t xml:space="preserve">A tax imposed under this subsection does not apply to a hotel located in a municipality that imposes a tax under Chapter 351 applicable to the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