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88R23667 PRL-F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inspection of election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1.012, Election Code, is amended by amending Subsection (e)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an</w:t>
      </w:r>
      <w:r xml:space="preserve">
        <w:t> </w:t>
      </w:r>
      <w:r>
        <w:t xml:space="preserve">[</w:t>
      </w:r>
      <w:r>
        <w:rPr>
          <w:strike/>
        </w:rPr>
        <w:t xml:space="preserve">An</w:t>
      </w:r>
      <w:r>
        <w:t xml:space="preserve">] election record shall be available not later than the 15th day after election day in an electronic format for a fee of not more than $50.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on the 61st day after election day, the general custodian of election records shall make available for public inspection election records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original voted ballots;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images of voted ballots, if a county maintains images of voted ballots;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cast vote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custodian shall adopt procedures to ensure the redaction of any personally identifiable information of the voter contained on a ballot before making the voted ballot available for public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