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5180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disclosure of anonymous voted ballots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66.058, Election Code, is amended by adding subsection (a-1)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code, the precinct election records shall be preserved by the authority to whom they are distributed for at least 22 months after election day.</w:t>
      </w:r>
    </w:p>
    <w:p w:rsidR="003F3435" w:rsidRDefault="0032493E">
      <w:pPr>
        <w:spacing w:line="480" w:lineRule="auto"/>
        <w:ind w:firstLine="720"/>
        <w:jc w:val="both"/>
      </w:pPr>
      <w:r>
        <w:rPr>
          <w:u w:val="single"/>
        </w:rPr>
        <w:t xml:space="preserve">(a-1)</w:t>
      </w:r>
      <w:r>
        <w:rPr>
          <w:u w:val="single"/>
        </w:rPr>
        <w:t xml:space="preserve"> </w:t>
      </w:r>
      <w:r>
        <w:rPr>
          <w:u w:val="single"/>
        </w:rPr>
        <w:t xml:space="preserve">On the 61st day after election day, the general custodian of election records shall provide public access to anonymous voted ballots, cast vote records, ballot images, authentication files, ballot reports and related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