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w:t>
      </w:r>
      <w:r xml:space="preserve">
        <w:tab wTab="150" tlc="none" cTlc="0"/>
      </w:r>
      <w:r>
        <w:t xml:space="preserve">H.B.</w:t>
      </w:r>
      <w:r xml:space="preserve">
        <w:t> </w:t>
      </w:r>
      <w:r>
        <w:t xml:space="preserve">No.</w:t>
      </w:r>
      <w:r xml:space="preserve">
        <w:t> </w:t>
      </w:r>
      <w:r>
        <w:t xml:space="preserve">5189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open-enrollment charter school expansion amendment.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12.114, Education Code, is amended to add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request for approval for an expansion amendment shall be accompanied by prior-years data, specified by the commissioner in the request form, regarding the open-enrollment charter school's allotment and expenditures for special education and its special education practices, including enrollment, discipline, and staffing.  </w:t>
      </w:r>
      <w:r>
        <w:rPr>
          <w:u w:val="single"/>
        </w:rPr>
        <w:t xml:space="preserve">The commissioner shall thoroughly review and make public the charter school's special education funding and practices, including the data submitted, before acting on the request.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5189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