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5191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supplemental appropriation and reductions in appropriation and giving direction and adjustment authority regarding appropriation for the development of a statewide broadband infrastructure for new transportation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DEFINITION.  In this Act, "ARPA fund" means money received by this state from the Coronavirus State Fiscal Recovery Fund (42 U.S.C. Section 802) established under the American Rescue Plan Act of 2021 (Pub. L. N</w:t>
      </w:r>
      <w:r>
        <w:t xml:space="preserve">o.</w:t>
      </w:r>
      <w:r xml:space="preserve">
        <w:t> </w:t>
      </w:r>
      <w:r>
        <w:t xml:space="preserve">117-2) and deposited to the credit of the Coronavirus Relief Fund No.</w:t>
      </w:r>
      <w:r xml:space="preserve">
        <w:t> </w:t>
      </w:r>
      <w:r>
        <w:t xml:space="preserve">325.</w:t>
      </w:r>
    </w:p>
    <w:p w:rsidR="003F3435" w:rsidRDefault="0032493E">
      <w:pPr>
        <w:spacing w:line="480" w:lineRule="auto"/>
        <w:jc w:val="center"/>
      </w:pPr>
      <w:r>
        <w:t xml:space="preserve">ARTICLE 2. BUSINESS AND ECONOMIC DEVELOPMENT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DEPARTMENT OF TRANSPORTATION: BROADBAND INFRASTRUCTURE.  (a)  The amount of $30,000,000 is appropriated from the ARPA fund to the comptroller of public accounts for the two-year period beginning on the effective date of this Act for immediate deposit to the Department of Transportation for the development and implementation of a statewide broadband infrastructure able to support new transportation technology and to enhance accessibility within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