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88R11667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spouses of certain veterans with disabilities to a veteran's employment preference.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VETERAN'S EMPLOYMENT PREFERENCE.</w:t>
      </w:r>
      <w:r xml:space="preserve">
        <w:t> </w:t>
      </w:r>
      <w:r xml:space="preserve">
        <w:t> </w:t>
      </w:r>
      <w:r>
        <w:t xml:space="preserve">The following individuals qualify for a veteran's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spouse of a veteran who has a total disability permanent in nature resulting from a service-connected disability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657.003(b),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veteran's employment preference for employment or appointment over other applicants for the same position who do not have a greater qualification a veteran's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rPr>
          <w:u w:val="single"/>
        </w:rPr>
        <w:t xml:space="preserve">a spouse of a veteran as described by Section 657.002(4);</w:t>
      </w:r>
    </w:p>
    <w:p w:rsidR="003F3435" w:rsidRDefault="0032493E">
      <w:pPr>
        <w:spacing w:line="480" w:lineRule="auto"/>
        <w:ind w:firstLine="1440"/>
        <w:jc w:val="both"/>
      </w:pPr>
      <w:r>
        <w:rPr>
          <w:u w:val="single"/>
        </w:rPr>
        <w:t xml:space="preserve">(4)</w:t>
      </w:r>
      <w:r xml:space="preserve">
        <w:t> </w:t>
      </w:r>
      <w:r xml:space="preserve">
        <w:t> </w:t>
      </w:r>
      <w:r>
        <w:t xml:space="preserve">a veteran's surviving spouse who has not remarried;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an orphan of a veteran if the veteran was killed while on active duty.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applicant who is </w:t>
      </w:r>
      <w:r>
        <w:rPr>
          <w:u w:val="single"/>
        </w:rPr>
        <w:t xml:space="preserve">either</w:t>
      </w:r>
      <w:r>
        <w:t xml:space="preserve"> a veteran with a disability </w:t>
      </w:r>
      <w:r>
        <w:rPr>
          <w:u w:val="single"/>
        </w:rPr>
        <w:t xml:space="preserve">or a spouse of a veteran as described by Section 657.002(4)</w:t>
      </w:r>
      <w:r>
        <w:t xml:space="preserve"> shall furnish the official records to the individual whose duty is to fill the position.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open position with a state agency for which the state agency begins accepting applications on or after the effective date of this Act. </w:t>
      </w:r>
      <w:r>
        <w:t xml:space="preserve"> </w:t>
      </w:r>
      <w:r>
        <w:t xml:space="preserve">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