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5200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consideration of location of an offeror's principal place of business in awarding certain municipal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271, Local Government Code, is amended by adding Section 271.9052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271.9052.</w:t>
      </w:r>
      <w:r>
        <w:rPr>
          <w:u w:val="single"/>
        </w:rPr>
        <w:t xml:space="preserve"> </w:t>
      </w:r>
      <w:r>
        <w:rPr>
          <w:u w:val="single"/>
        </w:rPr>
        <w:t xml:space="preserve"> </w:t>
      </w:r>
      <w:r>
        <w:rPr>
          <w:u w:val="single"/>
        </w:rPr>
        <w:t xml:space="preserve">CONSIDERATION OF LOCATION OF OFFEROR'S PRINCIPAL PLACE OF BUSINESS IN AWARDING CERTAIN MUNICIPAL CONTRACTS.  (a)  This section applies only to a municipality that contains more than 75 percent of the population of a county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purchasing as authorized under this title any personal property that is not affixed to real property or services other than professional services, if a municipality that solicits requests for proposals receives one or more proposals from an offeror whose principal place of business is in the municipality, the municipality may consider, as a percentage of the evaluation factors in accordance with Subsection (c), an offeror's principal place of business unless the contract is for construction services in an amount of $100,000 or more.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municipality elects to consider an offeror's principal place of business under Subsection (b) and scores an offeror's proposal on a 100-point scale, the municipality shall assign: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points to an offeror with a principal place of business in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points to an offeror who employs: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20 percent of the offeror's employees in 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100 employees in the municipality.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a municipality from rejecting any proposal.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