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5201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practice and procedure related to proceedings in the judicial branch of state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defendant who was arrested for or </w:t>
      </w:r>
      <w:r>
        <w:rPr>
          <w:u w:val="single"/>
        </w:rPr>
        <w:t xml:space="preserve">charged with, convicted of, or placed on deferred adjudication community supervision for any misdemeanor or felony offense</w:t>
      </w:r>
      <w:r>
        <w:t xml:space="preserve"> successfully completes a veterans treatment court program, after notice to, and agreement of, the attorney representing the state and a hearing in the veterans treatment court at which that court determines that a dismissal is in the best interest of justice, </w:t>
      </w:r>
      <w:r>
        <w:rPr>
          <w:u w:val="single"/>
        </w:rPr>
        <w:t xml:space="preserve">for any justice involved event</w:t>
      </w:r>
      <w:r>
        <w:t xml:space="preserve">, the veterans treatment court shall provide to the court in which the criminal case is pending information about the dismissal and shall include all of the information required about the defendant for a petition for expunction under Section 2(b), Article 55.02, Code of Criminal Procedure. </w:t>
      </w:r>
      <w:r>
        <w:t xml:space="preserve"> </w:t>
      </w:r>
      <w:r>
        <w:t xml:space="preserve">The court in which the criminal case is pending shall dismiss the case against the defendant and:</w:t>
      </w:r>
    </w:p>
    <w:p w:rsidR="003F3435" w:rsidRDefault="0032493E">
      <w:pPr>
        <w:spacing w:line="480" w:lineRule="auto"/>
        <w:ind w:firstLine="1440"/>
        <w:jc w:val="both"/>
      </w:pPr>
      <w:r>
        <w:t xml:space="preserve">(1)</w:t>
      </w:r>
      <w:r xml:space="preserve">
        <w:t> </w:t>
      </w:r>
      <w:r xml:space="preserve">
        <w:t> </w:t>
      </w:r>
      <w:r>
        <w:t xml:space="preserve">if that trial court is a district court, the court may, with the consent of the attorney representing the state, enter an order of expunction on behalf of the defendant under Section 1a(a-1), Article 55.02, Code of Criminal Procedure; or</w:t>
      </w:r>
    </w:p>
    <w:p w:rsidR="003F3435" w:rsidRDefault="0032493E">
      <w:pPr>
        <w:spacing w:line="480" w:lineRule="auto"/>
        <w:ind w:firstLine="1440"/>
        <w:jc w:val="both"/>
      </w:pPr>
      <w:r>
        <w:t xml:space="preserve">(2)</w:t>
      </w:r>
      <w:r xml:space="preserve">
        <w:t> </w:t>
      </w:r>
      <w:r xml:space="preserve">
        <w:t> </w:t>
      </w:r>
      <w: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Section 1a(a-1), Article 55.02,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