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88R13793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5211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certain medically necessary therapeutic nutritional formulas.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1377, Insurance Code, is amended to read as follows:</w:t>
      </w:r>
    </w:p>
    <w:p w:rsidR="003F3435" w:rsidRDefault="0032493E">
      <w:pPr>
        <w:spacing w:line="480" w:lineRule="auto"/>
        <w:jc w:val="center"/>
      </w:pPr>
      <w:r>
        <w:t xml:space="preserve">CHAPTER 1377.  COVERAGE FOR CERTAIN </w:t>
      </w:r>
      <w:r>
        <w:rPr>
          <w:u w:val="single"/>
        </w:rPr>
        <w:t xml:space="preserve">NUTRITIONAL</w:t>
      </w:r>
      <w:r>
        <w:t xml:space="preserve"> [</w:t>
      </w:r>
      <w:r>
        <w:rPr>
          <w:strike/>
        </w:rPr>
        <w:t xml:space="preserve">AMINO ACID-BASED ELEMENTAL</w:t>
      </w:r>
      <w:r>
        <w:t xml:space="preserve">] FORMULAS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Subchapter B, Chapter 1377, Insurance Code, is amended to read as follows:</w:t>
      </w:r>
    </w:p>
    <w:p w:rsidR="003F3435" w:rsidRDefault="0032493E">
      <w:pPr>
        <w:spacing w:line="480" w:lineRule="auto"/>
        <w:jc w:val="center"/>
      </w:pPr>
      <w:r>
        <w:t xml:space="preserve">SUBCHAPTER B.  </w:t>
      </w:r>
      <w:r>
        <w:rPr>
          <w:u w:val="single"/>
        </w:rPr>
        <w:t xml:space="preserve">REQUIRED</w:t>
      </w:r>
      <w:r>
        <w:t xml:space="preserve"> COVERAGE [</w:t>
      </w:r>
      <w:r>
        <w:rPr>
          <w:strike/>
        </w:rPr>
        <w:t xml:space="preserve">FOR CERTAIN AMINO ACID-BASED ELEMENTAL FORMULAS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1377.051, Insurance Code, is amended to read as follows:</w:t>
      </w:r>
    </w:p>
    <w:p w:rsidR="003F3435" w:rsidRDefault="0032493E">
      <w:pPr>
        <w:spacing w:line="480" w:lineRule="auto"/>
        <w:ind w:firstLine="720"/>
        <w:jc w:val="both"/>
      </w:pPr>
      <w:r>
        <w:t xml:space="preserve">Sec.</w:t>
      </w:r>
      <w:r xml:space="preserve">
        <w:t> </w:t>
      </w:r>
      <w:r>
        <w:t xml:space="preserve">1377.051.</w:t>
      </w:r>
      <w:r xml:space="preserve">
        <w:t> </w:t>
      </w:r>
      <w:r xml:space="preserve">
        <w:t> </w:t>
      </w:r>
      <w:r>
        <w:t xml:space="preserve">REQUIRED COVERAGE FOR CERTAIN </w:t>
      </w:r>
      <w:r>
        <w:rPr>
          <w:u w:val="single"/>
        </w:rPr>
        <w:t xml:space="preserve">NUTRITIONAL</w:t>
      </w:r>
      <w:r>
        <w:t xml:space="preserve"> [</w:t>
      </w:r>
      <w:r>
        <w:rPr>
          <w:strike/>
        </w:rPr>
        <w:t xml:space="preserve">AMINO ACID-BASED ELEMENTAL</w:t>
      </w:r>
      <w:r>
        <w:t xml:space="preserve">] FORMULAS.  (a)  A health benefit plan must provide coverage as provided by this chapter for amino acid-based elemental formulas, regardless of the formula delivery method, that are used for the diagnosis and treatment of:</w:t>
      </w:r>
    </w:p>
    <w:p w:rsidR="003F3435" w:rsidRDefault="0032493E">
      <w:pPr>
        <w:spacing w:line="480" w:lineRule="auto"/>
        <w:ind w:firstLine="1440"/>
        <w:jc w:val="both"/>
      </w:pPr>
      <w:r>
        <w:t xml:space="preserve">(1)</w:t>
      </w:r>
      <w:r xml:space="preserve">
        <w:t> </w:t>
      </w:r>
      <w:r xml:space="preserve">
        <w:t> </w:t>
      </w:r>
      <w:r>
        <w:t xml:space="preserve">immunoglobulin E and non-immunoglobulin E mediated allergies to multiple food proteins;</w:t>
      </w:r>
    </w:p>
    <w:p w:rsidR="003F3435" w:rsidRDefault="0032493E">
      <w:pPr>
        <w:spacing w:line="480" w:lineRule="auto"/>
        <w:ind w:firstLine="1440"/>
        <w:jc w:val="both"/>
      </w:pPr>
      <w:r>
        <w:t xml:space="preserve">(2)</w:t>
      </w:r>
      <w:r xml:space="preserve">
        <w:t> </w:t>
      </w:r>
      <w:r xml:space="preserve">
        <w:t> </w:t>
      </w:r>
      <w:r>
        <w:t xml:space="preserve">severe food protein-induced enterocolitis syndrome;</w:t>
      </w:r>
    </w:p>
    <w:p w:rsidR="003F3435" w:rsidRDefault="0032493E">
      <w:pPr>
        <w:spacing w:line="480" w:lineRule="auto"/>
        <w:ind w:firstLine="1440"/>
        <w:jc w:val="both"/>
      </w:pPr>
      <w:r>
        <w:t xml:space="preserve">(3)</w:t>
      </w:r>
      <w:r xml:space="preserve">
        <w:t> </w:t>
      </w:r>
      <w:r xml:space="preserve">
        <w:t> </w:t>
      </w:r>
      <w:r>
        <w:t xml:space="preserve">eosinophilic disorders, as evidenced by the results of a biopsy; and</w:t>
      </w:r>
    </w:p>
    <w:p w:rsidR="003F3435" w:rsidRDefault="0032493E">
      <w:pPr>
        <w:spacing w:line="480" w:lineRule="auto"/>
        <w:ind w:firstLine="1440"/>
        <w:jc w:val="both"/>
      </w:pPr>
      <w:r>
        <w:t xml:space="preserve">(4)</w:t>
      </w:r>
      <w:r xml:space="preserve">
        <w:t> </w:t>
      </w:r>
      <w:r xml:space="preserve">
        <w:t> </w:t>
      </w:r>
      <w:r>
        <w:t xml:space="preserve">impaired absorption of nutrients caused by disorders affecting the absorptive surface, functional length, and motility of the gastrointestinal tract.</w:t>
      </w:r>
    </w:p>
    <w:p w:rsidR="003F3435" w:rsidRDefault="0032493E">
      <w:pPr>
        <w:spacing w:line="480" w:lineRule="auto"/>
        <w:ind w:firstLine="720"/>
        <w:jc w:val="both"/>
      </w:pPr>
      <w:r>
        <w:t xml:space="preserve">(b)</w:t>
      </w:r>
      <w:r xml:space="preserve">
        <w:t> </w:t>
      </w:r>
      <w:r xml:space="preserve">
        <w:t> </w:t>
      </w:r>
      <w:r>
        <w:rPr>
          <w:u w:val="single"/>
        </w:rPr>
        <w:t xml:space="preserve">In addition to the coverage required under Subsection (a) and subject to Subsection (d), a health benefit plan must provide coverage for a therapeutic nutritional formula if the treating physician has issued a written order stating that the formula is medically necessary, including for the treatment of an enrollee at risk for growth or developmental delays.</w:t>
      </w:r>
    </w:p>
    <w:p w:rsidR="003F3435" w:rsidRDefault="0032493E">
      <w:pPr>
        <w:spacing w:line="480" w:lineRule="auto"/>
        <w:ind w:firstLine="720"/>
        <w:jc w:val="both"/>
      </w:pPr>
      <w:r>
        <w:rPr>
          <w:u w:val="single"/>
        </w:rPr>
        <w:t xml:space="preserve">(c)</w:t>
      </w:r>
      <w:r xml:space="preserve">
        <w:t> </w:t>
      </w:r>
      <w:r xml:space="preserve">
        <w:t> </w:t>
      </w:r>
      <w:r>
        <w:t xml:space="preserve">Subject to Subsection </w:t>
      </w:r>
      <w:r>
        <w:rPr>
          <w:u w:val="single"/>
        </w:rPr>
        <w:t xml:space="preserve">(d)</w:t>
      </w:r>
      <w:r>
        <w:t xml:space="preserve"> [</w:t>
      </w:r>
      <w:r>
        <w:rPr>
          <w:strike/>
        </w:rPr>
        <w:t xml:space="preserve">(c)</w:t>
      </w:r>
      <w:r>
        <w:t xml:space="preserve">], the coverage required under Subsection (a) is required if the treating physician has issued a written order stating that the amino acid-based elemental formula is medically necessary for the treatment of an enrollee who is diagnosed with a disease or disorder listed in Subsection (a).  The coverage must include coverage of any medically necessary services associated with the administration of the formula.</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health benefit plan must provide the coverage described by </w:t>
      </w:r>
      <w:r>
        <w:rPr>
          <w:u w:val="single"/>
        </w:rPr>
        <w:t xml:space="preserve">Subsections</w:t>
      </w:r>
      <w:r>
        <w:t xml:space="preserve"> [</w:t>
      </w:r>
      <w:r>
        <w:rPr>
          <w:strike/>
        </w:rPr>
        <w:t xml:space="preserve">Subsection</w:t>
      </w:r>
      <w:r>
        <w:t xml:space="preserve">] (a) </w:t>
      </w:r>
      <w:r>
        <w:rPr>
          <w:u w:val="single"/>
        </w:rPr>
        <w:t xml:space="preserve">and (b)</w:t>
      </w:r>
      <w:r>
        <w:t xml:space="preserve"> on a basis no less favorable than the basis on which prescription drugs and other medications and related services are covered by the plan, and to the same extent that the plan provides coverage for drugs that are available only on the orders of a physician.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1377.052(a), Insurance Code, is amended to read as follows:</w:t>
      </w:r>
    </w:p>
    <w:p w:rsidR="003F3435" w:rsidRDefault="0032493E">
      <w:pPr>
        <w:spacing w:line="480" w:lineRule="auto"/>
        <w:ind w:firstLine="720"/>
        <w:jc w:val="both"/>
      </w:pPr>
      <w:r>
        <w:t xml:space="preserve">(a)</w:t>
      </w:r>
      <w:r xml:space="preserve">
        <w:t> </w:t>
      </w:r>
      <w:r xml:space="preserve">
        <w:t> </w:t>
      </w:r>
      <w:r>
        <w:t xml:space="preserve">A utilization review agent acting on behalf of a health benefit plan issuer may review a treating physician's determination of the medical necessity of the use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amino acid-based elemental formula for the treatment of an enrollee who is diagnosed with a disease or disorder listed in Section 1377.051(a)</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nutritional formula under Section 1377.051(b)</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health benefit plan that is delivered, issued for delivery, or renewed on or after January 1, 2024.  A health benefit plan that is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