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5214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actions brought by the attorney general on behalf of certain persons under the Texas Free Enterprise and Antitrust Act of 1983.</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15.21, Business &amp; Commerce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 civil action against a person on behalf of an individual or governmental entity for injury to that individual's or entity's business or property caused, directly or indirectly, by the person's violation of Section 15.05(a), (b), or (c).  An action under this subsection may be brought in district court in Travis County, or in any county in this state in which a named defendant resides, does business, or maintains a principal office, or in which the individual or governmental entity on whose behalf the action is brought resides at the time of the cause of action or any part of the cause of action accrues.  If the attorney general prevails in an action under this subsection, the attorney general shall recover actual damages sustained by the individual or governmental entity, interest on actual damages for the period beginning on the date of service of the attorney general's pleading setting forth a claim under the antitrust laws and ending on the date of judgment (the rate of such interest to be in accordance with Texas law regarding postjudgment interest rates and the amount of interest to be adjusted by the court if it finds that the award of all or part of such interest is unjust in the circumstances), and the cost of suit, including a reasonable attorney's fee, and if applicable, expert witness fees; provided, however, that if the trier of fact finds that the unlawful conduct was willful or flagrant, the court shall increase the recovery to threefold the damages sustained and the cost of suit, including a reasonable attorney's fee and, if applicable, expert witness fees;  provided that interest on actual damages as specified above may not be recovered when recovered damages are increased threefold. In an action under this subsection in which a claim is asserted against a defendant relating to injury to both direct and indirect purchasers, the court shall take all steps necessary to avoid duplicative recovery from that defendant.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"governmental entity" </w:t>
      </w:r>
      <w:r>
        <w:rPr>
          <w:u w:val="single"/>
        </w:rPr>
        <w:t xml:space="preserve">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 including each department, board, agency, instrumentality, authority, or commission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subdivision of this state, including a county, city, municipality, school district, local improvement district, law enforcement authority, or special district, including a water, sanitation, fire protection, metropolitan, irrigation, drainage, or other special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 quasi-municipal, or public corporation organized under the Texas Constitution or other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department, board, agency, instrumentality, authority, or commission of an entity described by Subdivision (2) or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15.21(d) and (e), Business &amp; Commerce Code, as added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