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88R9584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5230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of prescription drugs for serious mental illnesses and opioid and substance use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E-2 to read as follows:</w:t>
      </w:r>
    </w:p>
    <w:p w:rsidR="003F3435" w:rsidRDefault="0032493E">
      <w:pPr>
        <w:spacing w:line="480" w:lineRule="auto"/>
        <w:jc w:val="center"/>
      </w:pPr>
      <w:r>
        <w:rPr>
          <w:u w:val="single"/>
        </w:rPr>
        <w:t xml:space="preserve">SUBCHAPTER E-2.  PRESCRIPTION DRUG COVERAGE FOR SERIOUS MENTAL ILLNESSES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1369.221.</w:t>
      </w:r>
      <w:r>
        <w:rPr>
          <w:u w:val="single"/>
        </w:rPr>
        <w:t xml:space="preserve"> </w:t>
      </w:r>
      <w:r>
        <w:rPr>
          <w:u w:val="single"/>
        </w:rPr>
        <w:t xml:space="preserve"> </w:t>
      </w:r>
      <w:r>
        <w:rPr>
          <w:u w:val="single"/>
        </w:rPr>
        <w:t xml:space="preserve">DEFINITION.  In this subchapter, "serious mental illness" has the meaning assigned by Section 1355.001.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1369.222.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1369.223.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under Chapter 533,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1369.224.</w:t>
      </w:r>
      <w:r>
        <w:rPr>
          <w:u w:val="single"/>
        </w:rPr>
        <w:t xml:space="preserve"> </w:t>
      </w:r>
      <w:r>
        <w:rPr>
          <w:u w:val="single"/>
        </w:rPr>
        <w:t xml:space="preserve"> </w:t>
      </w:r>
      <w:r>
        <w:rPr>
          <w:u w:val="single"/>
        </w:rPr>
        <w:t xml:space="preserve">PROHIBITED CONDUCT.  (a)  A health benefit plan that provides coverage for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a different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a different drug.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the use of which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prescribed by a physician or other health care provider for the serious mental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by the prescribing physician or health care provider in consultation with the enrollee as the most appropriate course of treatment for the serious mental illness;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approved by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applies only to a drug prescribed to an enrollee who is 18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a pharmacist's authority to substitute a generic equivalent or one or more interchangeable biological products under Section 562.008, Occupations Code, for a prescription drug prescribed for a serious mental illness.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1369, Insurance Code, is amended by adding Subchapter E-3 to read as follows:</w:t>
      </w:r>
    </w:p>
    <w:p w:rsidR="003F3435" w:rsidRDefault="0032493E">
      <w:pPr>
        <w:spacing w:line="480" w:lineRule="auto"/>
        <w:jc w:val="center"/>
      </w:pPr>
      <w:r>
        <w:rPr>
          <w:u w:val="single"/>
        </w:rPr>
        <w:t xml:space="preserve">SUBCHAPTER E-3.  COVERAGE OF MEDICATION-ASSISTED TREATMENT FOR OPIOID OR SUBSTANCE USE DISORDER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1369.231.</w:t>
      </w:r>
      <w:r>
        <w:rPr>
          <w:u w:val="single"/>
        </w:rPr>
        <w:t xml:space="preserve"> </w:t>
      </w:r>
      <w:r>
        <w:rPr>
          <w:u w:val="single"/>
        </w:rPr>
        <w:t xml:space="preserve"> </w:t>
      </w:r>
      <w:r>
        <w:rPr>
          <w:u w:val="single"/>
        </w:rPr>
        <w:t xml:space="preserve">DEFINITION.  In this subchapter, "medication-assisted opioid or substance use disorder treatment" means the use of methadone, buprenorphine, oral buprenorphine/naloxone, or naltrexone to treat opioid or substance use disorder.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1369.232.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nonprofit agricultural organization health benefits offered by a nonprofit agricultural organization under Chapter 1682;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regional or local health care program operated under Section 75.104, Health and Safety Code;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1369.233.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under Chapter 533,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1369.234.</w:t>
      </w:r>
      <w:r>
        <w:rPr>
          <w:u w:val="single"/>
        </w:rPr>
        <w:t xml:space="preserve"> </w:t>
      </w:r>
      <w:r>
        <w:rPr>
          <w:u w:val="single"/>
        </w:rPr>
        <w:t xml:space="preserve"> </w:t>
      </w:r>
      <w:r>
        <w:rPr>
          <w:u w:val="single"/>
        </w:rPr>
        <w:t xml:space="preserve">LIMITATIONS ON PRIOR AUTHORIZATION.  A health benefit plan that provides coverage for medication-assisted opioid or substance use disorder treatment may not require an enrollee to obtain prior authorization for the treatment, except as needed to minimize the opportunity for fraud, waste, and abuse.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32.03115(e), Human Resources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