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5238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identifying defendants suspected of having a mental illness or intellectual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16.22(a)(1), Code of Criminal Procedure, is amended to read as follows:</w:t>
      </w:r>
    </w:p>
    <w:p w:rsidR="003F3435" w:rsidRDefault="0032493E">
      <w:pPr>
        <w:spacing w:line="480" w:lineRule="auto"/>
        <w:ind w:firstLine="720"/>
        <w:jc w:val="both"/>
      </w:pPr>
      <w:r>
        <w:t xml:space="preserve">(a)(1)</w:t>
      </w:r>
      <w:r xml:space="preserve">
        <w:t> </w:t>
      </w:r>
      <w:r xml:space="preserve">
        <w:t> </w:t>
      </w:r>
      <w:r>
        <w:t xml:space="preserve">Not later than 12 hours after the sheriff or municipal jailer having custody of a defendant [</w:t>
      </w:r>
      <w:r>
        <w:rPr>
          <w:strike/>
        </w:rPr>
        <w:t xml:space="preserve">for an offense punishable as a Class B misdemeanor or any higher category of offense</w:t>
      </w:r>
      <w:r>
        <w:t xml:space="preserv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16.22(b-2) and (d), Code of Criminal Procedure, are amended to read as follows:</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46B.022,</w:t>
      </w:r>
      <w:r>
        <w:t xml:space="preserve"> </w:t>
      </w:r>
      <w:r>
        <w:t xml:space="preserve">whether there is clinical evidence to support a belief that the defendant may be incompetent to stand trial and should undergo a complete competency examination under Subchapter B, Chapter 46B;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rPr>
          <w:u w:val="single"/>
        </w:rPr>
        <w:t xml:space="preserve">subject to Article 46B.002,</w:t>
      </w:r>
      <w:r>
        <w:t xml:space="preserve"> ordering an examination regarding the defendant's competency to stand trial.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