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statute of limitations for a suit on performance bonds.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Sec. 2253.078(a),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suit on a performance bond may not be brought after the first anniversary of the </w:t>
      </w:r>
      <w:r>
        <w:rPr>
          <w:u w:val="single"/>
        </w:rPr>
        <w:t xml:space="preserve">earlier of: (1) the</w:t>
      </w:r>
      <w:r>
        <w:t xml:space="preserve"> date of final completion, </w:t>
      </w:r>
      <w:r>
        <w:rPr>
          <w:u w:val="single"/>
        </w:rPr>
        <w:t xml:space="preserve">(2) the date</w:t>
      </w:r>
      <w:r>
        <w:t xml:space="preserve"> of abandonment, or </w:t>
      </w:r>
      <w:r>
        <w:rPr>
          <w:u w:val="single"/>
        </w:rPr>
        <w:t xml:space="preserve">(3) the date of</w:t>
      </w:r>
      <w:r>
        <w:t xml:space="preserve"> termination of the public work contract.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