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expenses and methods of financing the operations of certain state licensing or regulatory agencies and related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Occupations Code, is amended by adding Section 51.1031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51.1031.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 SHARING ARRANGEMENT.  The executive director may enter into an agreement with another state agency to share costs and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101.006,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101.006.</w:t>
      </w:r>
      <w:r xml:space="preserve">
        <w:t> </w:t>
      </w:r>
      <w:r xml:space="preserve">
        <w:t> </w:t>
      </w:r>
      <w:r>
        <w:t xml:space="preserve">BUDGET.  The council shall adopt an annual budget that is funded by a prorated assessment paid by the regulatory agencies listed in Section 101.002 </w:t>
      </w:r>
      <w:r>
        <w:rPr>
          <w:u w:val="single"/>
        </w:rPr>
        <w:t xml:space="preserve">and as may be provided by the general appropriations act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101, Occupations Code, is amended by adding Section 101.0061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101.0061.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 SHARING ARRANGEMENT.  The council may enter into an agreement with another state agency to share costs and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201.153, Occupations Code, is amended by adding a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by rule may set temporary fees in amounts reasonable and necessary to cover nonrecurring costs of administering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Chapter 801, Occupations Code, is amended by adding Section 801.1021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801.1021.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 SHARING ARRANGEMENT.  The executive director may enter into an agreement with another state agency to share costs and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801.154,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801.154.</w:t>
      </w:r>
      <w:r xml:space="preserve">
        <w:t> </w:t>
      </w:r>
      <w:r xml:space="preserve">
        <w:t> </w:t>
      </w:r>
      <w:r>
        <w:t xml:space="preserve">FEES.  The board by rule shall set fees in amounts that are reasonable and necessary so that the fees, in the aggregate, cover the costs of administering this chapter.  </w:t>
      </w:r>
      <w:r>
        <w:rPr>
          <w:u w:val="single"/>
        </w:rPr>
        <w:t xml:space="preserve">The board by rule may set temporary fees in amounts reasonable and necessary to cover nonrecurring costs of administering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Chapter 1002, Occupations Code, is amended by adding Section 1002.1031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1002.1031.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 SHARING ARRANGEMENT.  The executive director may enter into an agreement with another state agency to share costs and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1002.152,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1002.152.</w:t>
      </w:r>
      <w:r xml:space="preserve">
        <w:t> </w:t>
      </w:r>
      <w:r xml:space="preserve">
        <w:t> </w:t>
      </w:r>
      <w:r>
        <w:t xml:space="preserve">FEES.  The board may set reasonable and necessary fees to be charged applicants and license holders under this chapter, including fees for application, examination, licensure, and renewal of a license.  The board shall base a fee for examination in a discipline of geoscience on the costs associated with preparing, administering, and grading that examination.  </w:t>
      </w:r>
      <w:r>
        <w:rPr>
          <w:u w:val="single"/>
        </w:rPr>
        <w:t xml:space="preserve">The board by rule may set temporary fees in amounts reasonable and necessary to cover nonrecurring costs of administering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