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Maverick County Regional Mobility Authority;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370, Transportation Code, is amended by adding Subchapter L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L. MAVERICK COUNTY REGIONAL MOBILITY AUTHORITY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subchapter, "member county" means Maverick County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370.452.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NATURE OF AUTHORITY.  (a) </w:t>
      </w:r>
      <w:r>
        <w:rPr>
          <w:u w:val="single"/>
        </w:rPr>
        <w:t xml:space="preserve"> </w:t>
      </w:r>
      <w:r>
        <w:rPr>
          <w:u w:val="single"/>
        </w:rPr>
        <w:t xml:space="preserve">The Maverick County Regional Mobility Authority is an authority organized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this chapter that requires the commission to approve the creation of an authority does not apply to the Maverick County Regional Mobility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CONFLICTS WITH OTHER SUBCHAPTERS.  In the case of a conflict between this subchapter and other provisions of this chapter or other law governing regional mobility authorities, this subchapter controls.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370.454.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 COUNTIES.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Maverick County Regional Mobility Authority initially includes the following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Maverick County;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370.455.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BOARD OF DIRECTORS; TERMS.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governing body of the Maverick County Regional Mobility Authority is a board of directors consisting of three representatives from the member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the member county shall appoint one director to serve on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elect either the director representing Maverick County or the director of a future participating county as the presiding officer. A director may not serve as presiding officer for more than two consecutive years.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Directors serve two-year terms, with as near as possible to one-half of the directors' terms expiring on February 1 of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370.456.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INITIAL DIRECTORS.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Of the initial directors, the terms of directors appointed to represent the participating county expire February 1, 2025.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370.455(d) does not apply to an initial director.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502.402(a) and (b-1),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the United Mexican States;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population of more than 250,000;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 has a population of more than 1.5 million that is coterminous with a regional mobility authority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county of the Maverick County Regional Mobility Authority, as established under Subchapter L, Chapter 370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The commissioners court of a county described by Subsection </w:t>
      </w:r>
      <w:r>
        <w:rPr>
          <w:u w:val="single"/>
        </w:rPr>
        <w:t xml:space="preserve">(a)(1) or (2)</w:t>
      </w:r>
      <w:r>
        <w:t xml:space="preserve"> [</w:t>
      </w:r>
      <w:r>
        <w:rPr>
          <w:strike/>
        </w:rPr>
        <w:t xml:space="preserve">(a)</w:t>
      </w:r>
      <w:r>
        <w:t xml:space="preserve">] with a population of less than 700,000 may increase the additional fee to an amount that does not exceed $20 if approved by a majority of the qualified voters of the county voting on the issue at a referendum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2024, but only if the constitutional amendment proposed by the 88th Legislature, Regular Session, 2023, to authorize the creation of a regional mobility authority by local law is approved by the voters. </w:t>
      </w:r>
      <w:r>
        <w:t xml:space="preserve"> </w:t>
      </w:r>
      <w:r>
        <w:t xml:space="preserve">If that constitutional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