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5248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task force to provide recommendations for the repatriation and disposition of Indigenous objects held by state institutions and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1</w:t>
      </w:r>
      <w:r>
        <w:rPr>
          <w:u w:val="single"/>
        </w:rPr>
        <w:t xml:space="preserve">.</w:t>
      </w:r>
      <w:r>
        <w:rPr>
          <w:u w:val="single"/>
        </w:rPr>
        <w:t xml:space="preserve"> </w:t>
      </w:r>
      <w:r>
        <w:rPr>
          <w:u w:val="single"/>
        </w:rPr>
        <w:t xml:space="preserve"> </w:t>
      </w:r>
      <w:r>
        <w:rPr>
          <w:u w:val="single"/>
        </w:rPr>
        <w:t xml:space="preserve">Subtitle D, Chapter 442, Texas Historical Commission is amended by adding section 442.0066.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442.0069.</w:t>
      </w:r>
      <w:r>
        <w:rPr>
          <w:u w:val="single"/>
        </w:rPr>
        <w:t xml:space="preserve"> </w:t>
      </w:r>
      <w:r>
        <w:rPr>
          <w:u w:val="single"/>
        </w:rPr>
        <w:t xml:space="preserve"> </w:t>
      </w:r>
      <w:r>
        <w:rPr>
          <w:u w:val="single"/>
        </w:rPr>
        <w:t xml:space="preserve">NATIVE AMERICAN PROTECTION AND REPATRIATION TASK FORCE.  (a)  The Texas Historical Commission shall establish a task force to investigate and provide recommendations for the repatriation and disposition of Native American and indigenous human remains, funerary objects, sacred objects, and other objects of cultural patrimony that are held by state institutions and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operate for no more than two years from the date of which it is established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 consist of representatives from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Federally recognized indigenous tribes who have ancestral ties to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Non-federally recognized indigenous tribes who have ancestral ties to Texas and have requested remains or other objects through the Native American Graves Protection and Repatriation process previously.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Historical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Archeological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Historical Commission may include other non-federally recognized indigenous tribes at their discretion.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Task Force shall provide an annual report with their recommendations to the Legislature no later than December 31 each year they are active.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