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88R10286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interstate voter registration crosscheck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18.062,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18.062.</w:t>
      </w:r>
      <w:r xml:space="preserve">
        <w:t> </w:t>
      </w:r>
      <w:r xml:space="preserve">
        <w:t> </w:t>
      </w:r>
      <w:r>
        <w:t xml:space="preserve">INTERSTATE VOTER REGISTRATION CROSSCHECK PROGRAM.</w:t>
      </w:r>
      <w:r xml:space="preserve">
        <w:t> </w:t>
      </w:r>
      <w:r xml:space="preserve">
        <w:t> </w:t>
      </w:r>
      <w:r>
        <w:t xml:space="preserve">(a)</w:t>
      </w:r>
      <w:r xml:space="preserve">
        <w:t> </w:t>
      </w:r>
      <w:r xml:space="preserve">
        <w:t> </w:t>
      </w:r>
      <w:r>
        <w:t xml:space="preserve">To maintain the statewide voter registration list and to prevent duplication of registration in more than one state or jurisdiction, the secretary of state shall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cooperate with other states and jurisdictions to develop systems to compare voters, voter history, and voter registration lists to identify voters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whose addresses have changed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have been convicted of a felony;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are registered to vote in more than one state;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and contract with the provider of a private sector data system to identify voters: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whose addresses have changed;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are registered to vote in more than one state;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are deceased;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are not eligible to vote for another reason, including a felony conviction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private sector data system under Subsection (a)(2) must have demonstrated an ability to work with registered voter identification and matching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system developed under this section must comply with the National Voter Registration Act </w:t>
      </w:r>
      <w:r>
        <w:rPr>
          <w:u w:val="single"/>
        </w:rPr>
        <w:t xml:space="preserve">of 1993</w:t>
      </w:r>
      <w:r>
        <w:t xml:space="preserve"> (52 U.S.C. Section 20501 et seq.) </w:t>
      </w:r>
      <w:r>
        <w:rPr>
          <w:u w:val="single"/>
        </w:rPr>
        <w:t xml:space="preserve">and the Help America Vote Act of 2002 (52 U.S.C. Section 20901 et seq.)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cost to begin operations with a system under Subsection (a)(2) may not exceed $100,000.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cost of continuing operations with a system under Subsection (a)(2) may not exceed one dollar for each voter identified under Subsection (a)(2).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may not provide to a system under Subsection (a)(2) any information that is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found in a voter roll;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identify voters under Subsection (a)(2).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record information related to the system under Subsection (a)(2) and shall submit to the legislature a report on that information not later than the first day of each quarter of the state's fiscal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with a system under Subsection (a)(2) may not require any additional duty of the state not required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