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88R9814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5263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certain taxable entities that provide certain employees with job-related skills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K to read as follows:</w:t>
      </w:r>
    </w:p>
    <w:p w:rsidR="003F3435" w:rsidRDefault="0032493E">
      <w:pPr>
        <w:spacing w:line="480" w:lineRule="auto"/>
        <w:jc w:val="center"/>
      </w:pPr>
      <w:r>
        <w:rPr>
          <w:u w:val="single"/>
        </w:rPr>
        <w:t xml:space="preserve">SUBCHAPTER K.  TAX CREDIT FOR EMPLOYMENT AND TRAINING OF CERTAIN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worker training program" means a training program that improves a qualified employee's job-related skills in a manner that is necessary to adapt to new demands in the workplace due to the adoption of new technology, equipment, or innovation,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program that assists a qualified employee in successfully obtaining one or more industry-recognized certificates or credentials;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post-secondary vocational or job training program that assists a qualified employee in successfully obtaining a license or an associate degree from an accredited institution of higher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training program developed under the federal Workforce Innovation and Opportunity Act (29 U.S.C. Section 3101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employee" means an employee who, during the period for which the credit is claimed, works for a qualified employer not less than 35 hours per week for six consecutive months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enrolled in the Jobs Corps program administered by the United States Department of Labor;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holds an active employment authorization document issued through the federal Deferred Action for Childhood Arrivals program;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 an active H2-A or H2-B visa authorizing the employee to work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employer" means a taxable entity that is engaged in an industry that is experiencing a shortage of workers due to a lack of technical skills and technological disruption that requires significant capital investment for the entity to remain competitive within the industry,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manufacturing;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food service;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transit;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advanced technologies and manufacturing;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aerospace and defense;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biotechnology and life science;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information and computer technology;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logistics and transportation;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petroleum refining or chemical production;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energy production.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171.552.</w:t>
      </w:r>
      <w:r>
        <w:rPr>
          <w:u w:val="single"/>
        </w:rPr>
        <w:t xml:space="preserve"> </w:t>
      </w:r>
      <w:r>
        <w:rPr>
          <w:u w:val="single"/>
        </w:rPr>
        <w:t xml:space="preserve"> </w:t>
      </w:r>
      <w:r>
        <w:rPr>
          <w:u w:val="single"/>
        </w:rPr>
        <w:t xml:space="preserve">ENTITLEMENT TO CREDIT.  A qualified employer is entitled to a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171.553.</w:t>
      </w:r>
      <w:r>
        <w:rPr>
          <w:u w:val="single"/>
        </w:rPr>
        <w:t xml:space="preserve"> </w:t>
      </w:r>
      <w:r>
        <w:rPr>
          <w:u w:val="single"/>
        </w:rPr>
        <w:t xml:space="preserve"> </w:t>
      </w:r>
      <w:r>
        <w:rPr>
          <w:u w:val="single"/>
        </w:rPr>
        <w:t xml:space="preserve">QUALIFICATION FOR CREDIT.  A qualified employer qualifies for a credit under this subchapter if, during the period for which the report on which the credit is claimed is based, the qualified employer implements an eligible worker training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171.554.</w:t>
      </w:r>
      <w:r>
        <w:rPr>
          <w:u w:val="single"/>
        </w:rPr>
        <w:t xml:space="preserve"> </w:t>
      </w:r>
      <w:r>
        <w:rPr>
          <w:u w:val="single"/>
        </w:rPr>
        <w:t xml:space="preserve"> </w:t>
      </w:r>
      <w:r>
        <w:rPr>
          <w:u w:val="single"/>
        </w:rPr>
        <w:t xml:space="preserve">AMOUNT OF CREDIT; LIMITATION.  (a)  Subject to Subsection (b), the amount of the credit a qualified employer may claim on a report is an amount equal to the sum of $500 multiplied by the number of qualified employees employed by the qualified employer and that completed an eligible worker training program offered by the employer during the period covered by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claimed on a report may not exceed the amount of franchise tax due for the report after the application of any other applicable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171.555.</w:t>
      </w:r>
      <w:r>
        <w:rPr>
          <w:u w:val="single"/>
        </w:rPr>
        <w:t xml:space="preserve"> </w:t>
      </w:r>
      <w:r>
        <w:rPr>
          <w:u w:val="single"/>
        </w:rPr>
        <w:t xml:space="preserve"> </w:t>
      </w:r>
      <w:r>
        <w:rPr>
          <w:u w:val="single"/>
        </w:rPr>
        <w:t xml:space="preserve">APPLICATION FOR CREDIT.  (a)  A qualified employer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promulgate a form for the application for the credit. A qualified employer must use the form in applying for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require a qualified employer to submit with an application any other information the comptroller determines is necessary to determine whether the employer qualifies for the credit under Section 171.553.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171.556.</w:t>
      </w:r>
      <w:r>
        <w:rPr>
          <w:u w:val="single"/>
        </w:rPr>
        <w:t xml:space="preserve"> </w:t>
      </w:r>
      <w:r>
        <w:rPr>
          <w:u w:val="single"/>
        </w:rPr>
        <w:t xml:space="preserve"> </w:t>
      </w:r>
      <w:r>
        <w:rPr>
          <w:u w:val="single"/>
        </w:rPr>
        <w:t xml:space="preserve">RULES.  The comptroller shall adopt rules necessary to implement and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K, Chapter 171, Tax Code, as added by this Act, applies only to a report originally due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