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88R14419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 Allen, et al.</w:t>
      </w:r>
      <w:r xml:space="preserve">
        <w:tab wTab="150" tlc="none" cTlc="0"/>
      </w:r>
      <w:r>
        <w:t xml:space="preserve">H.B.</w:t>
      </w:r>
      <w:r xml:space="preserve">
        <w:t> </w:t>
      </w:r>
      <w:r>
        <w:t xml:space="preserve">No.</w:t>
      </w:r>
      <w:r xml:space="preserve">
        <w:t> </w:t>
      </w:r>
      <w:r>
        <w:t xml:space="preserve">5264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and use of certain performance indicators to measure and evaluate career school or college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132, Education Code, is amended by adding Section 132.027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132.027.</w:t>
      </w:r>
      <w:r>
        <w:rPr>
          <w:u w:val="single"/>
        </w:rPr>
        <w:t xml:space="preserve"> </w:t>
      </w:r>
      <w:r>
        <w:rPr>
          <w:u w:val="single"/>
        </w:rPr>
        <w:t xml:space="preserve"> </w:t>
      </w:r>
      <w:r>
        <w:rPr>
          <w:u w:val="single"/>
        </w:rPr>
        <w:t xml:space="preserve">PERFORMANCE INDICATORS.  (a) The commission shall adopt a set of performance indicators for the purpose of measuring and evaluating the quality of the learning and achievement of students enrolled in programs operated by career schools or colleges. The commission periodically shall review the indicators and make appropriate revisions based on that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performance indicators adopted under Subsection (a) must allow for the assessment of a career school or college program with respect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industry recognition of the program and the corresponding value that industry attaches to the program and to any certifications or licenses related to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rate at which students are able to successfully complete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availability of a program-related certification or license after a student completes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likelihood that a certification or license related to the program will: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lead to postsecondary work, an apprenticeship program, or established industry credentials;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support employment in multiple regions of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a program-related certification or license will be awarded by an independent third-party organization using predetermined standards for knowledge, skills, and competencies;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inclusion of accepted best practices for the program that align to best practices contained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widely accepted industry standards;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standards established by an independent third-party organization with expertise in gathering information from employers related to the value attached to any certifications or licenses related to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methodology for determining the minimum acceptable standards for a career school or college based on the performance indicators adopted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annually 20 percent of career school and college programs in all regions of this state for compliance with the minimum acceptable standards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career school or college offering a program that fails to meet the minimum standards developed under Subsection (c) is ineligible to enter into a contract with a local workforce development board with respect to that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September 1 of each year, the commission shall publish a list of each career school and college program that has been reviewed by the commission and that meets the minimum acceptable standards developed under Subsection (c).</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Rules adopted by the commission under Section 132.021 must include rules for the periodic review of performance indicators.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2024, the Texas Workforce Commission shall publish the initial list required under Section 132.027(e),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