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5264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10,</w:t>
      </w:r>
      <w:r xml:space="preserve">
        <w:t> </w:t>
      </w:r>
      <w:r>
        <w:t xml:space="preserve">2023, read first time and referred to Committee on Natural Resources &amp; Economic Development; May</w:t>
      </w:r>
      <w:r xml:space="preserve">
        <w:t> </w:t>
      </w:r>
      <w:r>
        <w:t xml:space="preserve">22,</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5264</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adoption and use of certain performance indicators to measure and evaluate career school or college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132, Education Code, is amended by adding Section 132.027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132.027.</w:t>
      </w:r>
      <w:r>
        <w:rPr>
          <w:u w:val="single"/>
        </w:rPr>
        <w:t xml:space="preserve"> </w:t>
      </w:r>
      <w:r>
        <w:rPr>
          <w:u w:val="single"/>
        </w:rPr>
        <w:t xml:space="preserve"> </w:t>
      </w:r>
      <w:r>
        <w:rPr>
          <w:u w:val="single"/>
        </w:rPr>
        <w:t xml:space="preserve">PERFORMANCE INDICATORS.  (a) </w:t>
      </w:r>
      <w:r>
        <w:rPr>
          <w:u w:val="single"/>
        </w:rPr>
        <w:t xml:space="preserve"> </w:t>
      </w:r>
      <w:r>
        <w:rPr>
          <w:u w:val="single"/>
        </w:rPr>
        <w:t xml:space="preserve">In this section, "institution of higher education"</w:t>
      </w:r>
      <w:r>
        <w:rPr>
          <w:u w:val="single"/>
        </w:rPr>
        <w:t xml:space="preserve"> </w:t>
      </w:r>
      <w:r>
        <w:rPr>
          <w:u w:val="single"/>
        </w:rPr>
        <w:t xml:space="preserve">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a set of performance indicators for the purpose of measuring and evaluating career schools or colleges and the quality of the learning and achievement of students enrolled in programs operated by career schools or colleges. The commission periodically shall review the indicators and make appropriate revisions based on that review.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performance indicators adopted under Subsection (b) must allow for the assessment of a career school or college program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industry recognition of the program and the corresponding value that industry attaches to the program and to any certifications or licenses related to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rate at which students are able to successfully complete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availability of a program-related certification or license after a student completes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likelihood that a certification or license related to the program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lead to postsecondary work, an apprenticeship program, or established industry credentials;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 employment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a program-related certification or license will be awarded by an independent third-party organization using predetermined standards for knowledge, skills, and competencies;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inclusion of accepted best practices for the program that align to best practices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widely accepted industry standards;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standards established by an independent third-party organization with expertise in gathering information from employers related to the value attached to any certifications or licenses related to the program;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a nursing education program, whether the program has resulted in a decrease in the number of clinical practice positions available to students enrolled in nursing programs in institutions of higher education in the region in which the program is offered.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methodology for determining the minimum acceptable standards for a career school or college based on the performance indicators adopted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annually between 15 and 20 percent of career school and college programs in this state for compliance with the minimum acceptable standards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Texas Board of Nursing and other appropriate state agencies in implementing and administering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career school or college offering a program that fails to meet the minimum standards developed under Subsection (d) is ineligible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contract with a local workforce development board with respect to that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nursing clinical practice positions in this state until the career school or college provides evidence satisfactory to the commission and the Texas Board of Nursing that a nursing education program offered by the career school or college will not result in a decrease in the number of nursing clinical practice positions available to students enrolled in nursing programs in institutions of higher education in the region in which the program is offered.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of each year, the commission shall publish a list of each career school and college program that has been reviewed by the commission and that meets the minimum acceptable standards developed under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Rules adopted by the commission under Section 132.021 must include rules for the periodic review of performance indicators.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request by the commission, the Texas Board of Nursing and other appropriate state agencies shall coordinate with the commission for purposes of Subsection (d)(3), including by providing available data or other information to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2025, the Texas Workforce Commission shall publish the initial list required under Section 132.027(f),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