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88R8796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5274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expedited credentialing of providers under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533.0064(c), Government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At the time the commission establishes a new program under the Medicaid program and not less frequently than annually, the</w:t>
      </w:r>
      <w:r>
        <w:t xml:space="preserve"> [</w:t>
      </w:r>
      <w:r>
        <w:rPr>
          <w:strike/>
        </w:rPr>
        <w:t xml:space="preserve">The</w:t>
      </w:r>
      <w:r>
        <w:t xml:space="preserve">] commission shall </w:t>
      </w:r>
      <w:r>
        <w:rPr>
          <w:u w:val="single"/>
        </w:rPr>
        <w:t xml:space="preserve">review and</w:t>
      </w:r>
      <w:r>
        <w:t xml:space="preserve"> identify the types of providers for which an expedited credentialing process must be established and implemented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