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the State Board for Educator Certification of negotiated rulemaking in proposing certain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the board submits to the State Board of Education for approval under Section 21.042 any proposed rule that is reasonably likely to affect educators or educator preparation programs, the board must use negotiated rulemaking procedures under Chapter 2008, Government Code, including the appointment to a negotiated rulemaking committee of persons representing,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preparation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membership organizations that represent educators or educator preparation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rule proposed by the State Board for Educator Certification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