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H.B.</w:t>
      </w:r>
      <w:r xml:space="preserve">
        <w:t> </w:t>
      </w:r>
      <w:r>
        <w:t xml:space="preserve">No.</w:t>
      </w:r>
      <w:r xml:space="preserve">
        <w:t> </w:t>
      </w:r>
      <w:r>
        <w:t xml:space="preserve">5281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improper entry from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A person who is not a citizen or national of the United State commits an offense if the person:</w:t>
      </w:r>
    </w:p>
    <w:p w:rsidR="003F3435" w:rsidRDefault="0032493E">
      <w:pPr>
        <w:spacing w:line="480" w:lineRule="auto"/>
        <w:ind w:firstLine="1440"/>
        <w:jc w:val="both"/>
      </w:pPr>
      <w:r>
        <w:t xml:space="preserve">(1)</w:t>
      </w:r>
      <w:r xml:space="preserve">
        <w:t> </w:t>
      </w:r>
      <w:r xml:space="preserve">
        <w:t> </w:t>
      </w:r>
      <w:r>
        <w:rPr>
          <w:u w:val="single"/>
        </w:rPr>
        <w:t xml:space="preserve">enters or attempts to enter this state from a foreign nation at any time or place other than as designated by United States immigration officers;</w:t>
      </w:r>
    </w:p>
    <w:p w:rsidR="003F3435" w:rsidRDefault="0032493E">
      <w:pPr>
        <w:spacing w:line="480" w:lineRule="auto"/>
        <w:ind w:firstLine="1440"/>
        <w:jc w:val="both"/>
      </w:pPr>
      <w:r>
        <w:t xml:space="preserve">(2)</w:t>
      </w:r>
      <w:r xml:space="preserve">
        <w:t> </w:t>
      </w:r>
      <w:r xml:space="preserve">
        <w:t> </w:t>
      </w:r>
      <w:r>
        <w:rPr>
          <w:u w:val="single"/>
        </w:rPr>
        <w:t xml:space="preserve">eludes examination or inspection by United States immigration officers; or</w:t>
      </w:r>
    </w:p>
    <w:p w:rsidR="003F3435" w:rsidRDefault="0032493E">
      <w:pPr>
        <w:spacing w:line="480" w:lineRule="auto"/>
        <w:ind w:firstLine="1440"/>
        <w:jc w:val="both"/>
      </w:pPr>
      <w:r>
        <w:t xml:space="preserve">(3)</w:t>
      </w:r>
      <w:r xml:space="preserve">
        <w:t> </w:t>
      </w:r>
      <w:r xml:space="preserve">
        <w:t>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July 1, 2023, if it receives a vote of two-thirds of all the members elected to each house, as provided by Section 39, Article III, Texas Constitution.  If this Act does not receive the vote necessary for effect on that date the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