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 private right of action against a school district or open enrollment charter school that violates a student or parental right.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 is amended by adding Section 26.016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OF GOVERNMENTAL IMMUNITY; PERMISSION TO SUE.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Pursuant to Texas Education Code 4.001, the belief that parental involvement is necessary for the maximum educational achievement of a child, and to achieve the state's constitutional purpose of a general diffusion of knowledge, this section makes provision for a limited parental cause of action against an independent school district or open-enrollment charter school in order to preserve a student's rights.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Sovereign immunity to suit is waived and abolished for a claim by a parental or legal guardian on behalf of a public school student against a school district or open-enrollment charter school regarding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violation of Section 1.002,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violation of Chapter 26,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provide a certified educator where required by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assignment to a campus with an unacceptable performance rating for more than two years;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provision of this code that requires a school  district or open-enrollment charter school to involve parents  and the school district or open-enrollment charter school  does not involve parents.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suit brought under this section is limited to the 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general damages, specific performance, or injunctive relief, if applicable;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under this section is not required to exhaust administrative remedies before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independent school district in Texas may exempt themselves from any provision of this act under Chapter 12A.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2023,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