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5292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48.102, Education Code, is amended to add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address the extraordinary gap in school district expenses for special education, a school district with two prior consecutive years of expenditures for students with disabilities that exceed the amount of the allotment under this section received in those years is entitled to additional funding in an amount that would compensate the district for the amount of the difference in funding.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