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88R14162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5295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filing with the Texas Ethics Commission of certain reports of political contributions and expenditures.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254, Election Code, is amended by adding Section 254.0365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254.0365.</w:t>
      </w:r>
      <w:r>
        <w:rPr>
          <w:u w:val="single"/>
        </w:rPr>
        <w:t xml:space="preserve"> </w:t>
      </w:r>
      <w:r>
        <w:rPr>
          <w:u w:val="single"/>
        </w:rPr>
        <w:t xml:space="preserve"> </w:t>
      </w:r>
      <w:r>
        <w:rPr>
          <w:u w:val="single"/>
        </w:rPr>
        <w:t xml:space="preserve">ELECTRONIC FILING OF CERTAIN REPORTS REQUIRED.  (a)  This section does not apply to a candidate or officeholder for a judicial office subject to Subchapter F, Chapter 253.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candidate or officeholder who is required to file reports with the commission shall file the reports electronically if in a calendar year the candidate or officeholder: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accepts political contributions that in the aggregate exceed $25,000;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political expenditures that in the aggregate exceed $25,000.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make each report filed in accordance with this section available to the public on the commission's Internet website not later than the seventh business day after the date the report is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report of political contributions and expenditures under Chapter 254, Election Code, that is required to be filed on or after January 1, 2024.  A report under that chapter that is required to be filed before the effective date of this Act is governed by the law in effect on the date the report is required to be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