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88R11645 KBB-D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Plesa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5301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one-time cash payment to certain residents of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(a) </w:t>
      </w:r>
      <w:r>
        <w:t xml:space="preserve"> </w:t>
      </w:r>
      <w:r>
        <w:t xml:space="preserve">The comptroller shall make a one-time payment of $500 to each eligible resident of this state,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 purposes of this section, an individual is eligible to receive a payment under this section only if the individual: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18 years of age or older;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resides in and is lawfully present in the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is not incarcerated at the time of applying.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individual must apply to the comptroller to receive a payment under this section.  The comptroller by rule shall adopt an application form and a process to verify information: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attesting an applicant's eligibility for the payment;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necessary for the applicant to receive the payment.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 amount, estimated not to exceed $15 billion, is appropriated from the economic stabilization fund to the comptroller for the state fiscal biennium beginning September 1, 2023, to provide a payment under this section to each eligible resident of this state and to pay costs incurred in facilitating the payments.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5301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