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5309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 requirements for the Galveston County Juvenile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152.0901(i),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Sections [</w:t>
      </w:r>
      <w:r>
        <w:rPr>
          <w:strike/>
        </w:rPr>
        <w:t xml:space="preserve">152.0002,</w:t>
      </w:r>
      <w:r>
        <w:t xml:space="preserve">] 152.0003, 152.0004, 152.0005, 152.0006, 152.0007, and 152.0008(a) do not apply to the juvenile board of Galveston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152.0901(d),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5309 was passed by the House on May 6, 2023, by the following vote:</w:t>
      </w:r>
      <w:r xml:space="preserve">
        <w:t> </w:t>
      </w:r>
      <w:r xml:space="preserve">
        <w:t> </w:t>
      </w:r>
      <w:r>
        <w:t xml:space="preserve">Yeas 125, Nays 9,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5309 was passed by the Senate on May 24,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