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5342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designation of a Texas Department of Transportation building in Starr County as the Eduardo "Eddie" Gracia, Jr., P.E. Area Engineer and Maintenance Facility.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Y, Chapter 201, Transportation Code, is amended by adding Section 201.2004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201.2004.</w:t>
      </w:r>
      <w:r>
        <w:rPr>
          <w:u w:val="single"/>
        </w:rPr>
        <w:t xml:space="preserve"> </w:t>
      </w:r>
      <w:r>
        <w:rPr>
          <w:u w:val="single"/>
        </w:rPr>
        <w:t xml:space="preserve"> </w:t>
      </w:r>
      <w:r>
        <w:rPr>
          <w:u w:val="single"/>
        </w:rPr>
        <w:t xml:space="preserve">EDUARDO "EDDIE" GRACIA, JR., P.E. AREA ENGINEER AND MAINTENANCE FACILITY.  (a)  The building in which, on June 1, 2023, is located the office of the area engineer for Starr County is designated as the Eduardo "Eddie" Gracia, Jr., P.E. Area Engineer and Maintenance Facility.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Subject to Subsection (a), the department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design and construct markers on the site indicating the designation as the Eduardo "Eddie" Gracia, Jr., P.E. Area Engineer and Maintenance Facility and any other appropriate information;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erect a marker at appropriate intermediate sites along the highway.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the department is not required to design, construct, or erect a marker under this section unless a grant or donation of private funds is made to the department to cover the cost of the design, construction, and erection of the marker.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Money received under Subsection (c) shall be deposited to the credit of the state highway fund.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5342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