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5396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and duties of the Stanley Lake Municipal Utility District;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7983A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7983A.</w:t>
      </w:r>
      <w:r>
        <w:rPr>
          <w:u w:val="single"/>
        </w:rPr>
        <w:t xml:space="preserve"> </w:t>
      </w:r>
      <w:r>
        <w:rPr>
          <w:u w:val="single"/>
        </w:rPr>
        <w:t xml:space="preserve"> </w:t>
      </w:r>
      <w:r>
        <w:rPr>
          <w:u w:val="single"/>
        </w:rPr>
        <w:t xml:space="preserve">STANLEY LAKE MUNICIPAL UTILITY DISTRICT</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Stanley Lake Municipal Utility </w:t>
      </w:r>
      <w:r>
        <w:rPr>
          <w:u w:val="single"/>
        </w:rPr>
        <w:t xml:space="preserve"> </w:t>
      </w:r>
      <w:r>
        <w:rPr>
          <w:u w:val="single"/>
        </w:rPr>
        <w:t xml:space="preserve">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7983A.0202.</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7983A.0302.</w:t>
      </w:r>
      <w:r>
        <w:rPr>
          <w:u w:val="single"/>
        </w:rPr>
        <w:t xml:space="preserve"> </w:t>
      </w:r>
      <w:r>
        <w:rPr>
          <w:u w:val="single"/>
        </w:rPr>
        <w:t xml:space="preserve"> </w:t>
      </w:r>
      <w:r>
        <w:rPr>
          <w:u w:val="single"/>
        </w:rPr>
        <w:t xml:space="preserve">PROCEDURE FOR ELECTION.  (a)  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7983A.0303,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7983A.0305.</w:t>
      </w:r>
      <w:r>
        <w:rPr>
          <w:u w:val="single"/>
        </w:rPr>
        <w:t xml:space="preserve"> </w:t>
      </w:r>
      <w:r>
        <w:rPr>
          <w:u w:val="single"/>
        </w:rPr>
        <w:t xml:space="preserve"> </w:t>
      </w:r>
      <w:r>
        <w:rPr>
          <w:u w:val="single"/>
        </w:rPr>
        <w:t xml:space="preserve">ISSUANCE OF BONDS FOR DEFINED AREA OR DESIGNATED PROPERTY.  After the order under Section 7983A.0303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7983A.0202.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Stanley Lake Municipal Utility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Stanley Lake Municipal Utility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