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5411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Twinwood Municipal Utility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8026A to read as follows:</w:t>
      </w:r>
    </w:p>
    <w:p w:rsidR="003F3435" w:rsidRDefault="0032493E">
      <w:pPr>
        <w:spacing w:line="480" w:lineRule="auto"/>
        <w:jc w:val="center"/>
      </w:pPr>
      <w:r>
        <w:rPr>
          <w:u w:val="single"/>
        </w:rPr>
        <w:t xml:space="preserve">CHAPTER 8026A.  TWINWOOD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Twinwood</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8026A.0104.</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LaKeta Morris;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Brian Alexander;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Ramirez;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Kyle Jones;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Northington Jr.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8026A.0103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8026A.0103;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territory of the district as it existed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revenue, contract payments, grants, or other district money, or any combination of those sources, to pay for a road project authorized by Section 8026A.0303.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Twinwood Municipal Utility District No.</w:t>
      </w:r>
      <w:r xml:space="preserve">
        <w:t> </w:t>
      </w:r>
      <w:r>
        <w:t xml:space="preserve">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Twinwood Municipal Utility District No.</w:t>
      </w:r>
      <w:r xml:space="preserve">
        <w:t> </w:t>
      </w:r>
      <w:r>
        <w:t xml:space="preserve">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5411 was passed by the House on May 12, 2023, by the following vote:</w:t>
      </w:r>
      <w:r xml:space="preserve">
        <w:t> </w:t>
      </w:r>
      <w:r xml:space="preserve">
        <w:t> </w:t>
      </w:r>
      <w:r>
        <w:t xml:space="preserve">Yeas 103, Nays 37,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5411 was passed by the Senate on May 24,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