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88R11561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H.C.R.</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Under Section 437.002(a), Government Code, "The governor is the commander-in-chief" and "has full control and authority over" the Texas military forces; now, therefore, be it</w:t>
      </w:r>
    </w:p>
    <w:p w:rsidR="003F3435" w:rsidRDefault="0032493E">
      <w:pPr>
        <w:spacing w:line="480" w:lineRule="auto"/>
        <w:ind w:firstLine="720"/>
        <w:jc w:val="both"/>
      </w:pPr>
      <w:r>
        <w:t xml:space="preserve">RESOLVED, That the 88th Legislature of the State of Texas hereby affirm the governor's authority to order the Texas Military Department to shoot down an aircraft illegally operating inside Texas airspace if that aircraft's purpose is to collect information in behalf of a foreign nation.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