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88R28091 BPG-D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Hunter</w:t>
      </w:r>
      <w:r xml:space="preserve">
        <w:tab wTab="150" tlc="none" cTlc="0"/>
      </w:r>
      <w:r>
        <w:t xml:space="preserve">H.C.R.</w:t>
      </w:r>
      <w:r xml:space="preserve">
        <w:t> </w:t>
      </w:r>
      <w:r>
        <w:t xml:space="preserve">No.</w:t>
      </w:r>
      <w:r xml:space="preserve">
        <w:t> </w:t>
      </w:r>
      <w:r>
        <w:t xml:space="preserve">116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CONCURRENT RESOLUTION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School districts in counties along the state's Gulf Coast are subject to greater expenses than their inland counterparts;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Due to their geographical location, districts in coastal counties are confronted with exceptional costs that are expected to continue to rise; recent years have seen more frequent and intense hurricanes and rainfall, leading to significant expenditures for maintenance, renovations, and repairs; moreover, insurance premiums are climbing as companies reassess risk in regions that are particularly vulnerable to extreme weather events;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Currently, the recapture formulas of the public school finance system do not take into consideration the elevated expenses borne by school districts in counties along the Gulf Coast; now, therefore, be it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88th Legislature of the State of Texas hereby request that the Lieutenant Governor and the Speaker of the House of Representatives create a joint interim committee to study issuance of credit against required recapture payments for Gulf Coast county school districts with excess facilities costs; and, be it further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committee submit a full report, including findings and recommendations, to the 89th Texas Legislature in January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H.C.R.</w:t>
    </w:r>
    <w:r xml:space="preserve">
      <w:t> </w:t>
    </w:r>
    <w:r>
      <w:t xml:space="preserve">No.</w:t>
    </w:r>
    <w:r xml:space="preserve">
      <w:t> </w:t>
    </w:r>
    <w:r>
      <w:t xml:space="preserve">116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