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Subsections (p) and (q)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business day occurring on or after the 90th day of each state fiscal year, an amount equal to the interest income, dividends, and investment earnings attributable to the economic stabilization fund for the preceding state fiscal year, not to exceed the amount determined under Subsection (q) of this section, is appropriated from the economic stabilization fund to the comptroller of public accounts for the purpose of immediate deposit to the credit of the Texas University Fund. </w:t>
      </w:r>
      <w:r>
        <w:rPr>
          <w:u w:val="single"/>
        </w:rPr>
        <w:t xml:space="preserve"> </w:t>
      </w:r>
      <w:r>
        <w:rPr>
          <w:u w:val="single"/>
        </w:rPr>
        <w:t xml:space="preserve">For purposes of this subsection, the amount of interest income, dividends, and investment earnings attributable to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and dividends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increase, if any,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amount of the appropriation made under Subsection (p) of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$100 million;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w:t>
      </w:r>
      <w:r>
        <w:rPr>
          <w:u w:val="single"/>
        </w:rPr>
        <w:t xml:space="preserve">inflation during the preceding state fiscal year, as determined by the comptroller of public accounts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Subsections (a) and (g)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w:t>
      </w:r>
      <w:r>
        <w:t xml:space="preserve"> </w:t>
      </w:r>
      <w:r>
        <w:t xml:space="preserve">[</w:t>
      </w:r>
      <w:r>
        <w:rPr>
          <w:strike/>
        </w:rPr>
        <w:t xml:space="preserve">A state university that becomes eligible to receive a portion of the distributions from the fund in a state fiscal biennium remains eligible to receive additional distributions from the fund in any subsequent state fiscal biennium.</w:t>
      </w:r>
      <w:r>
        <w:t xml:space="preserve">] </w:t>
      </w:r>
      <w:r>
        <w:t xml:space="preserve"> </w:t>
      </w:r>
      <w:r>
        <w:t xml:space="preserve">The University of Texas at Austin and Texas A&amp;M University are not eligible to receive money from the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January 1, 2024, the amount of $3.5 billion is appropriated from the general revenue fund to the comptroller of public accounts for the purpose of immediately depositing that amount to the credit of the Texas University Fund. </w:t>
      </w:r>
      <w:r>
        <w:rPr>
          <w:u w:val="single"/>
        </w:rPr>
        <w:t xml:space="preserve"> </w:t>
      </w:r>
      <w:r>
        <w:rPr>
          <w:u w:val="single"/>
        </w:rPr>
        <w:t xml:space="preserve">This subsection expires February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88th Legislature, Regular Session, 2023,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49-g(p), Article III, of this constitution, as added by the amendment, for the state fiscal year beginning September 1, 2023, the amount described by that subsection is appropriated from the economic stabilization fund to the comptroller of public accounts for the purpose of immediate deposit to the credit of the Texas University Fund on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February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w:t>
      </w:r>
      <w:r>
        <w:t xml:space="preserve"> </w:t>
      </w:r>
      <w:r>
        <w:t xml:space="preserve">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