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H.J.R.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enact laws providing for a court to terminate the sentence of a person who has successfully served the required number of years on parole.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11(a), Article IV,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by law establish a Board of Pardons and Paroles and shall require it to keep record of its actions and the reasons for its actions.  The Legislature shall have authority to enact parole laws</w:t>
      </w:r>
      <w:r>
        <w:rPr>
          <w:u w:val="single"/>
        </w:rPr>
        <w:t xml:space="preserve">, including laws authorizing a court to terminate the sentence of a person who has successfully served the specified number of years on parole required by law,</w:t>
      </w:r>
      <w:r>
        <w:t xml:space="preserve"> and laws that require or permit courts to inform juries about the effect of good conduct time and eligibility for parole or mandatory supervision on the period of incarceration served by a defendant convicted of a criminal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enact laws providing for a court to terminate the sentence of a person who has successfully served the required number of years on parole."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