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88R2258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H.J.R.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this state to observe daylight saving time year-round.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(a)  This state shall observe daylight saving time year-round throughout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all portions of the state, regardless of time zone.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court finds this state is not authorized by federal law to implement this section, Subsections (a) and (b) of this section have full force and effect on the date the United States Congress enacts legislation that becomes law that authorizes this state to observe daylight saving time as prescribed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requiring this state to observe daylight saving time year-round."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