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88R26181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 King of Uvalde, Murr</w:t>
      </w:r>
      <w:r xml:space="preserve">
        <w:tab wTab="150" tlc="none" cTlc="0"/>
      </w:r>
      <w:r>
        <w:t xml:space="preserve">H.J.R.</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1-u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1-u.</w:t>
      </w:r>
      <w:r>
        <w:rPr>
          <w:u w:val="single"/>
        </w:rPr>
        <w:t xml:space="preserve"> </w:t>
      </w:r>
      <w:r>
        <w:rPr>
          <w:u w:val="single"/>
        </w:rPr>
        <w:t xml:space="preserve"> </w:t>
      </w:r>
      <w:r>
        <w:rPr>
          <w:u w:val="single"/>
        </w:rPr>
        <w:t xml:space="preserve">The legislature by general law may authorize the 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 and may provide additional eligibility requirements for the exemption.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commissioners court of a county to exempt from ad valorem taxation by each political subdivision that taxes the property the portion of the assessed value of a person's property that is attributable to the installation in or on the property of a rainwater harvesting or graywater system."</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