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H.J.R.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the portion of the assessed value of a person's property that is attributable to the installation in or on the property of a rainwater harvesting or graywater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The legislature by general law may exempt from ad valorem taxation the portion of the assessed value of a person's property that is attributable to the installation in or on the property of a rainwater harvesting or graywater system and may provide additional eligibility requirements for the exemption.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exempt from ad valorem taxation the portion of the assessed value of a person's property that is attributable to the installation in or on the property of a rainwater harvesting or graywater system."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