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repealing the provision that subjects land designated for agricultural use to an additional tax when the land is diverted to a purpose other than agricultural use or sold.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1-d(f), Article VIII, Texas Constitution,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repealing the provision that subjects land designated for agricultural use to an additional tax when the land is diverted to a purpose other than agricultural use or sold.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repeal of Section 1-d(f), Article VIII, of this constitution takes effect January 1, 2024, and applies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repealing the provision that subjects land designated for agricultural use to an additional tax when the land is diverted to a purpose other than agricultural use or sold."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