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88R1698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H.J.R.</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governor to call the legislature into special session on petition of at least two-thirds of the members of each house of the legislature.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by proclamation convene the Legislature in special session on receipt of a petition requesting the special session that is signed by at least two-thirds of the members of each house of the Legislature. </w:t>
      </w:r>
      <w:r>
        <w:rPr>
          <w:u w:val="single"/>
        </w:rPr>
        <w:t xml:space="preserve"> </w:t>
      </w:r>
      <w:r>
        <w:rPr>
          <w:u w:val="single"/>
        </w:rPr>
        <w:t xml:space="preserve">The petition must state the date the Governor must convene the special session and the specific purpose or purposes for which the session is convened. </w:t>
      </w:r>
      <w:r>
        <w:rPr>
          <w:u w:val="single"/>
        </w:rPr>
        <w:t xml:space="preserve"> </w:t>
      </w:r>
      <w:r>
        <w:rPr>
          <w:u w:val="single"/>
        </w:rPr>
        <w:t xml:space="preserve">The proclamation must provide for convening the Legislature on the date stated in the petition and must authorize the Legislature to consider the specific purpose or purposes stated in the petition.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the governor to call the legislature into special session on petition of at least two-thirds of the members of each house of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